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96D16">
      <w:pPr>
        <w:pStyle w:val="Heading1"/>
        <w:pBdr>
          <w:bottom w:val="none" w:sz="0" w:space="0" w:color="auto"/>
        </w:pBdr>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661AE5" w:rsidRDefault="00E51969" w:rsidP="00196D16">
      <w:pPr>
        <w:pBdr>
          <w:bottom w:val="single" w:sz="4" w:space="1" w:color="auto"/>
        </w:pBdr>
        <w:rPr>
          <w:rFonts w:ascii="Arial" w:eastAsiaTheme="majorEastAsia" w:hAnsi="Arial" w:cstheme="majorBidi"/>
          <w:b/>
          <w:bCs/>
          <w:caps/>
          <w:sz w:val="26"/>
          <w:szCs w:val="24"/>
        </w:rPr>
      </w:pPr>
      <w:bookmarkStart w:id="1" w:name="_Toc465846405"/>
      <w:r w:rsidRPr="001117E8">
        <w:rPr>
          <w:rFonts w:ascii="Arial" w:eastAsiaTheme="majorEastAsia" w:hAnsi="Arial" w:cstheme="majorBidi"/>
          <w:b/>
          <w:bCs/>
          <w:caps/>
          <w:sz w:val="26"/>
          <w:szCs w:val="24"/>
        </w:rPr>
        <w:t>Chief financial officer, Department of housing and urban development</w:t>
      </w:r>
      <w:bookmarkEnd w:id="1"/>
    </w:p>
    <w:p w:rsidR="00E51969" w:rsidRPr="00D56177" w:rsidRDefault="00E51969"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196D1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196D16" w:rsidRDefault="00B64A22" w:rsidP="00B64A22">
            <w:pPr>
              <w:jc w:val="center"/>
              <w:rPr>
                <w:rFonts w:asciiTheme="majorHAnsi" w:hAnsiTheme="majorHAnsi" w:cstheme="majorHAnsi"/>
                <w:b/>
              </w:rPr>
            </w:pPr>
            <w:r w:rsidRPr="00196D16">
              <w:rPr>
                <w:rFonts w:asciiTheme="majorHAnsi" w:hAnsiTheme="majorHAnsi" w:cstheme="majorHAnsi"/>
                <w:b/>
              </w:rPr>
              <w:t>OVERVIEW</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196D16" w:rsidP="00E51969">
            <w:pPr>
              <w:rPr>
                <w:rFonts w:asciiTheme="majorHAnsi" w:hAnsiTheme="majorHAnsi" w:cstheme="majorHAnsi"/>
              </w:rPr>
            </w:pPr>
            <w:r w:rsidRPr="00196D16">
              <w:rPr>
                <w:rFonts w:asciiTheme="majorHAnsi" w:hAnsiTheme="majorHAnsi" w:cstheme="majorHAnsi"/>
              </w:rPr>
              <w:t>Banking, Housing</w:t>
            </w:r>
            <w:r w:rsidR="00E51969" w:rsidRPr="00196D16">
              <w:rPr>
                <w:rFonts w:asciiTheme="majorHAnsi" w:hAnsiTheme="majorHAnsi" w:cstheme="majorHAnsi"/>
              </w:rPr>
              <w:t xml:space="preserve"> and Urban Affairs </w:t>
            </w:r>
          </w:p>
          <w:p w:rsidR="00196D16" w:rsidRPr="00196D16" w:rsidRDefault="00196D16" w:rsidP="00E51969">
            <w:pPr>
              <w:rPr>
                <w:rFonts w:asciiTheme="majorHAnsi" w:hAnsiTheme="majorHAnsi" w:cstheme="majorHAnsi"/>
              </w:rPr>
            </w:pPr>
          </w:p>
          <w:p w:rsidR="00196D16" w:rsidRPr="00196D16" w:rsidRDefault="00196D16" w:rsidP="00E51969">
            <w:pPr>
              <w:rPr>
                <w:rFonts w:asciiTheme="majorHAnsi" w:hAnsiTheme="majorHAnsi" w:cstheme="majorHAnsi"/>
              </w:rPr>
            </w:pPr>
            <w:r w:rsidRPr="00196D16">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196D16">
              <w:rPr>
                <w:rStyle w:val="EndnoteReference"/>
                <w:rFonts w:asciiTheme="majorHAnsi" w:hAnsiTheme="majorHAnsi" w:cstheme="majorHAnsi"/>
              </w:rPr>
              <w:endnoteReference w:id="1"/>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bCs/>
              </w:rPr>
            </w:pPr>
            <w:r w:rsidRPr="00196D16">
              <w:rPr>
                <w:rFonts w:asciiTheme="majorHAnsi" w:hAnsiTheme="majorHAnsi" w:cstheme="majorHAnsi"/>
                <w:bCs/>
              </w:rPr>
              <w:t>Create strong, sustainable, inclusive communities and quality, affordable homes for all</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rPr>
            </w:pPr>
            <w:r w:rsidRPr="00196D16">
              <w:rPr>
                <w:rFonts w:asciiTheme="majorHAnsi" w:hAnsiTheme="majorHAnsi" w:cstheme="majorHAnsi"/>
                <w:bCs/>
              </w:rPr>
              <w:t>The Chief Financial Officer (CFO) serves as the principal advisor to the Secretary on financial management and is the senior departmental official responsible for establishing and implementing policies to govern all aspects of financial management in the department, including overseeing the development and implementation of the HUD budget. CFOs also play a crucial government-wide role.</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i/>
              </w:rPr>
            </w:pPr>
            <w:r w:rsidRPr="00196D1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612BDC" w:rsidP="00167470">
            <w:pPr>
              <w:rPr>
                <w:rFonts w:asciiTheme="majorHAnsi" w:hAnsiTheme="majorHAnsi" w:cstheme="majorHAnsi"/>
                <w:bCs/>
              </w:rPr>
            </w:pPr>
            <w:r w:rsidRPr="00196D16">
              <w:rPr>
                <w:rFonts w:asciiTheme="majorHAnsi" w:hAnsiTheme="majorHAnsi" w:cstheme="majorHAnsi"/>
                <w:bCs/>
              </w:rPr>
              <w:t>Level IV $</w:t>
            </w:r>
            <w:r w:rsidR="00167470">
              <w:rPr>
                <w:rFonts w:asciiTheme="majorHAnsi" w:hAnsiTheme="majorHAnsi" w:cstheme="majorHAnsi"/>
                <w:bCs/>
              </w:rPr>
              <w:t>155,500</w:t>
            </w:r>
            <w:r w:rsidR="00E51969" w:rsidRPr="00196D16">
              <w:rPr>
                <w:rFonts w:asciiTheme="majorHAnsi" w:hAnsiTheme="majorHAnsi" w:cstheme="majorHAnsi"/>
                <w:bCs/>
              </w:rPr>
              <w:t xml:space="preserve"> (5 U.S.C. § 5315)</w:t>
            </w:r>
            <w:r w:rsidR="00196D16" w:rsidRPr="00196D16">
              <w:rPr>
                <w:rStyle w:val="EndnoteReference"/>
                <w:rFonts w:asciiTheme="majorHAnsi" w:hAnsiTheme="majorHAnsi" w:cstheme="majorHAnsi"/>
                <w:bCs/>
              </w:rPr>
              <w:endnoteReference w:id="2"/>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rPr>
            </w:pPr>
            <w:r w:rsidRPr="00196D16">
              <w:rPr>
                <w:rFonts w:asciiTheme="majorHAnsi" w:hAnsiTheme="majorHAnsi" w:cstheme="majorHAnsi"/>
              </w:rPr>
              <w:t xml:space="preserve">Secretary of Housing and Urban Development </w:t>
            </w:r>
          </w:p>
        </w:tc>
      </w:tr>
      <w:tr w:rsidR="00661AE5" w:rsidRPr="00196D1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96D16" w:rsidRDefault="00661AE5" w:rsidP="00B64A22">
            <w:pPr>
              <w:jc w:val="center"/>
              <w:rPr>
                <w:rFonts w:asciiTheme="majorHAnsi" w:hAnsiTheme="majorHAnsi" w:cstheme="majorHAnsi"/>
                <w:b/>
              </w:rPr>
            </w:pPr>
            <w:r w:rsidRPr="00196D16">
              <w:rPr>
                <w:rFonts w:asciiTheme="majorHAnsi" w:hAnsiTheme="majorHAnsi" w:cstheme="majorHAnsi"/>
                <w:b/>
              </w:rPr>
              <w:t>RESPONSIBILITIES</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contextualSpacing/>
              <w:rPr>
                <w:rFonts w:asciiTheme="majorHAnsi" w:hAnsiTheme="majorHAnsi" w:cstheme="majorHAnsi"/>
                <w:bCs/>
              </w:rPr>
            </w:pPr>
            <w:r w:rsidRPr="00196D16">
              <w:rPr>
                <w:rFonts w:asciiTheme="majorHAnsi" w:hAnsiTheme="majorHAnsi" w:cstheme="majorHAnsi"/>
              </w:rPr>
              <w:t xml:space="preserve">In </w:t>
            </w:r>
            <w:r w:rsidRPr="00196D16">
              <w:rPr>
                <w:rFonts w:asciiTheme="majorHAnsi" w:hAnsiTheme="majorHAnsi" w:cstheme="majorHAnsi"/>
                <w:bCs/>
              </w:rPr>
              <w:t>fiscal</w:t>
            </w:r>
            <w:r w:rsidRPr="00196D16">
              <w:rPr>
                <w:rFonts w:asciiTheme="majorHAnsi" w:hAnsiTheme="majorHAnsi" w:cstheme="majorHAnsi"/>
              </w:rPr>
              <w:t xml:space="preserve"> 2015, HUD had $35,527 million in outlays and 8,059 total employment. </w:t>
            </w:r>
            <w:r w:rsidRPr="00196D16">
              <w:rPr>
                <w:rFonts w:asciiTheme="majorHAnsi" w:hAnsiTheme="majorHAnsi" w:cstheme="majorHAnsi"/>
                <w:bCs/>
              </w:rPr>
              <w:t>HUD has regional and field offices located throughout the nation.</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Develops and maintains integrated accounting and financial management systems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Oversees the recruitment, selection and training of personnel to carry out agency financial management functions, and manages, trains and provides policy guidance and oversight of these personnel and their activities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Coordinates financial management of all HUD bureaus and agencies, including activities of component CFOs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Implements agency asset management systems, including systems for cash management, credit management, debt collection, and property and inventory management and control</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Manages the financial execution of the agency budget and actual expenditures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Provides financial and performance reports to staff, overseers and stakeholders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lastRenderedPageBreak/>
              <w:t>Ties the budget and performance to outcomes</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Takes a lead role in enterprise risk-management</w:t>
            </w:r>
          </w:p>
          <w:p w:rsidR="00E51969" w:rsidRPr="00196D16" w:rsidRDefault="00E51969" w:rsidP="00E51969">
            <w:pPr>
              <w:numPr>
                <w:ilvl w:val="0"/>
                <w:numId w:val="34"/>
              </w:numPr>
              <w:rPr>
                <w:rFonts w:asciiTheme="majorHAnsi" w:hAnsiTheme="majorHAnsi" w:cstheme="majorHAnsi"/>
              </w:rPr>
            </w:pPr>
            <w:r w:rsidRPr="00196D16">
              <w:rPr>
                <w:rFonts w:asciiTheme="majorHAnsi" w:hAnsiTheme="majorHAnsi" w:cstheme="majorHAnsi"/>
              </w:rPr>
              <w:t>Develops budgets that support agency mission</w:t>
            </w:r>
          </w:p>
          <w:p w:rsidR="00E51969" w:rsidRPr="00196D16" w:rsidRDefault="00E51969" w:rsidP="00E51969">
            <w:pPr>
              <w:numPr>
                <w:ilvl w:val="0"/>
                <w:numId w:val="34"/>
              </w:numPr>
              <w:contextualSpacing/>
              <w:rPr>
                <w:rFonts w:asciiTheme="majorHAnsi" w:hAnsiTheme="majorHAnsi" w:cstheme="majorHAnsi"/>
              </w:rPr>
            </w:pPr>
            <w:r w:rsidRPr="00196D16">
              <w:rPr>
                <w:rFonts w:asciiTheme="majorHAnsi" w:hAnsiTheme="majorHAnsi" w:cstheme="majorHAnsi"/>
              </w:rPr>
              <w:t xml:space="preserve">Develops a strong internal control program and addresses material weaknesses in the department </w:t>
            </w:r>
          </w:p>
          <w:p w:rsidR="00E51969" w:rsidRPr="00196D16" w:rsidRDefault="00E51969" w:rsidP="00E51969">
            <w:pPr>
              <w:numPr>
                <w:ilvl w:val="0"/>
                <w:numId w:val="34"/>
              </w:numPr>
              <w:contextualSpacing/>
              <w:rPr>
                <w:rFonts w:asciiTheme="majorHAnsi" w:hAnsiTheme="majorHAnsi" w:cstheme="majorHAnsi"/>
              </w:rPr>
            </w:pPr>
            <w:r w:rsidRPr="00196D16">
              <w:rPr>
                <w:rFonts w:asciiTheme="majorHAnsi" w:hAnsiTheme="majorHAnsi" w:cstheme="majorHAnsi"/>
              </w:rPr>
              <w:t xml:space="preserve">Produces audited consolidated financial statements </w:t>
            </w:r>
          </w:p>
          <w:p w:rsidR="00E51969" w:rsidRPr="00196D16" w:rsidRDefault="00E51969" w:rsidP="00E51969">
            <w:pPr>
              <w:numPr>
                <w:ilvl w:val="0"/>
                <w:numId w:val="34"/>
              </w:numPr>
              <w:contextualSpacing/>
              <w:rPr>
                <w:rFonts w:asciiTheme="majorHAnsi" w:hAnsiTheme="majorHAnsi" w:cstheme="majorHAnsi"/>
              </w:rPr>
            </w:pPr>
            <w:r w:rsidRPr="00196D16">
              <w:rPr>
                <w:rFonts w:asciiTheme="majorHAnsi" w:hAnsiTheme="majorHAnsi" w:cstheme="majorHAnsi"/>
              </w:rPr>
              <w:t xml:space="preserve">Develops uniform financial-management policies and procedures </w:t>
            </w:r>
          </w:p>
          <w:p w:rsidR="00E51969" w:rsidRPr="00196D16" w:rsidRDefault="00E51969" w:rsidP="00E51969">
            <w:pPr>
              <w:numPr>
                <w:ilvl w:val="0"/>
                <w:numId w:val="34"/>
              </w:numPr>
              <w:contextualSpacing/>
              <w:rPr>
                <w:rFonts w:asciiTheme="majorHAnsi" w:hAnsiTheme="majorHAnsi" w:cstheme="majorHAnsi"/>
              </w:rPr>
            </w:pPr>
            <w:r w:rsidRPr="00196D16">
              <w:rPr>
                <w:rFonts w:asciiTheme="majorHAnsi" w:hAnsiTheme="majorHAnsi" w:cstheme="majorHAnsi"/>
              </w:rPr>
              <w:t>Processes accounting transactions and payments</w:t>
            </w:r>
          </w:p>
        </w:tc>
      </w:tr>
      <w:tr w:rsidR="00661AE5"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96D16" w:rsidRDefault="00661AE5" w:rsidP="004E1C64">
            <w:pPr>
              <w:rPr>
                <w:rFonts w:asciiTheme="majorHAnsi" w:hAnsiTheme="majorHAnsi" w:cstheme="majorHAnsi"/>
              </w:rPr>
            </w:pPr>
            <w:r w:rsidRPr="00196D1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2D0033" w:rsidRPr="00196D16" w:rsidRDefault="002D0033" w:rsidP="00F25F5F">
            <w:pPr>
              <w:ind w:left="72"/>
              <w:jc w:val="center"/>
              <w:rPr>
                <w:rFonts w:asciiTheme="majorHAnsi" w:hAnsiTheme="majorHAnsi" w:cstheme="majorHAnsi"/>
              </w:rPr>
            </w:pPr>
          </w:p>
          <w:p w:rsidR="002D0033" w:rsidRPr="00196D16" w:rsidRDefault="002D0033" w:rsidP="00F25F5F">
            <w:pPr>
              <w:ind w:left="72"/>
              <w:jc w:val="center"/>
              <w:rPr>
                <w:rFonts w:asciiTheme="majorHAnsi" w:hAnsiTheme="majorHAnsi" w:cstheme="majorHAnsi"/>
              </w:rPr>
            </w:pPr>
          </w:p>
          <w:p w:rsidR="00F25F5F" w:rsidRPr="00196D16" w:rsidRDefault="00F25F5F" w:rsidP="00F25F5F">
            <w:pPr>
              <w:ind w:left="72"/>
              <w:jc w:val="center"/>
              <w:rPr>
                <w:rFonts w:asciiTheme="majorHAnsi" w:hAnsiTheme="majorHAnsi" w:cstheme="majorHAnsi"/>
              </w:rPr>
            </w:pPr>
            <w:r w:rsidRPr="00196D16">
              <w:rPr>
                <w:rFonts w:asciiTheme="majorHAnsi" w:hAnsiTheme="majorHAnsi" w:cstheme="majorHAnsi"/>
              </w:rPr>
              <w:t>[</w:t>
            </w:r>
            <w:r w:rsidR="008C1E77" w:rsidRPr="00196D16">
              <w:rPr>
                <w:rFonts w:asciiTheme="majorHAnsi" w:hAnsiTheme="majorHAnsi" w:cstheme="majorHAnsi"/>
              </w:rPr>
              <w:t>Depends on the policy priorities of the administration</w:t>
            </w:r>
            <w:r w:rsidRPr="00196D16">
              <w:rPr>
                <w:rFonts w:asciiTheme="majorHAnsi" w:hAnsiTheme="majorHAnsi" w:cstheme="majorHAnsi"/>
              </w:rPr>
              <w:t>]</w:t>
            </w:r>
          </w:p>
          <w:p w:rsidR="0039752D" w:rsidRPr="00196D16" w:rsidRDefault="0039752D" w:rsidP="00FE3990">
            <w:pPr>
              <w:rPr>
                <w:rFonts w:asciiTheme="majorHAnsi" w:hAnsiTheme="majorHAnsi" w:cstheme="majorHAnsi"/>
              </w:rPr>
            </w:pPr>
          </w:p>
          <w:p w:rsidR="002D0033" w:rsidRPr="00196D16" w:rsidRDefault="002D0033" w:rsidP="00FE3990">
            <w:pPr>
              <w:rPr>
                <w:rFonts w:asciiTheme="majorHAnsi" w:hAnsiTheme="majorHAnsi" w:cstheme="majorHAnsi"/>
              </w:rPr>
            </w:pPr>
          </w:p>
        </w:tc>
      </w:tr>
      <w:tr w:rsidR="00661AE5" w:rsidRPr="00196D1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96D16" w:rsidRDefault="00661AE5" w:rsidP="00B64A22">
            <w:pPr>
              <w:jc w:val="center"/>
              <w:rPr>
                <w:rFonts w:asciiTheme="majorHAnsi" w:hAnsiTheme="majorHAnsi" w:cstheme="majorHAnsi"/>
                <w:b/>
              </w:rPr>
            </w:pPr>
            <w:r w:rsidRPr="00196D16">
              <w:rPr>
                <w:rFonts w:asciiTheme="majorHAnsi" w:hAnsiTheme="majorHAnsi" w:cstheme="majorHAnsi"/>
                <w:b/>
              </w:rPr>
              <w:t>REQUIREMENTS AND COMPETENCIES</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 xml:space="preserve">Understanding of Congressional budget process </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Understanding of auditing procedures and reporting</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Experience developing and maintaining integrated accounting and financial management systems</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 xml:space="preserve">Demonstrated ability to recruit, select and train personnel to carry out agency financial management functions, and ability to manage, train and provide policy guidance and oversight of those personnel </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Understanding of asset-management systems, including systems for cash management, credit management, debt collection, and property and inventory management and control</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 xml:space="preserve">Experience applying rigorous finance and analytical techniques to promote transparency, quantify fiscal implications of policies and assess program effectiveness. </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Operational experience involving the financial execution of annual budgets</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Ability to develop informative financial and performance reports to staff, overseers and stakeholders</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Experience and willingness to take a lead role in enterprise risk-management</w:t>
            </w:r>
          </w:p>
          <w:p w:rsidR="00E51969" w:rsidRPr="00196D16" w:rsidRDefault="00E51969" w:rsidP="00E51969">
            <w:pPr>
              <w:numPr>
                <w:ilvl w:val="0"/>
                <w:numId w:val="31"/>
              </w:numPr>
              <w:rPr>
                <w:rFonts w:asciiTheme="majorHAnsi" w:hAnsiTheme="majorHAnsi" w:cstheme="majorHAnsi"/>
              </w:rPr>
            </w:pPr>
            <w:r w:rsidRPr="00196D16">
              <w:rPr>
                <w:rFonts w:asciiTheme="majorHAnsi" w:hAnsiTheme="majorHAnsi" w:cstheme="majorHAnsi"/>
              </w:rPr>
              <w:t>Knowledge of federal budget formulation,</w:t>
            </w:r>
            <w:r w:rsidRPr="00196D16">
              <w:rPr>
                <w:rFonts w:asciiTheme="majorHAnsi" w:hAnsiTheme="majorHAnsi" w:cstheme="majorHAnsi"/>
                <w:bCs/>
              </w:rPr>
              <w:t xml:space="preserve"> including Office of Management and Budget (OMB) and Congressional Budget Office processes, as well as the federal rulemaking process.</w:t>
            </w:r>
          </w:p>
          <w:p w:rsidR="00E51969" w:rsidRPr="00196D16" w:rsidRDefault="00E51969" w:rsidP="00E51969">
            <w:pPr>
              <w:numPr>
                <w:ilvl w:val="0"/>
                <w:numId w:val="31"/>
              </w:numPr>
              <w:contextualSpacing/>
              <w:rPr>
                <w:rFonts w:asciiTheme="majorHAnsi" w:eastAsia="Calibri" w:hAnsiTheme="majorHAnsi" w:cstheme="majorHAnsi"/>
              </w:rPr>
            </w:pPr>
            <w:r w:rsidRPr="00196D16">
              <w:rPr>
                <w:rFonts w:asciiTheme="majorHAnsi" w:eastAsia="Calibri" w:hAnsiTheme="majorHAnsi" w:cstheme="majorHAnsi"/>
              </w:rPr>
              <w:t>Possession of the highest moral and ethical character, competence, trustworthiness, focus, good judgment and energy</w:t>
            </w:r>
          </w:p>
          <w:p w:rsidR="00E51969" w:rsidRPr="00196D16" w:rsidRDefault="00E51969" w:rsidP="00E51969">
            <w:pPr>
              <w:numPr>
                <w:ilvl w:val="0"/>
                <w:numId w:val="31"/>
              </w:numPr>
              <w:contextualSpacing/>
              <w:rPr>
                <w:rFonts w:asciiTheme="majorHAnsi" w:eastAsia="Calibri" w:hAnsiTheme="majorHAnsi" w:cstheme="majorHAnsi"/>
              </w:rPr>
            </w:pPr>
            <w:r w:rsidRPr="00196D16">
              <w:rPr>
                <w:rFonts w:asciiTheme="majorHAnsi" w:eastAsia="Calibri" w:hAnsiTheme="majorHAnsi" w:cstheme="majorHAnsi"/>
              </w:rPr>
              <w:t>Knowledgeable regarding government accounting principles and reporting, including Governmental Accounting Standards Board</w:t>
            </w:r>
          </w:p>
        </w:tc>
      </w:tr>
      <w:tr w:rsidR="00E51969" w:rsidRPr="00196D1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1969" w:rsidRPr="00196D16" w:rsidRDefault="00E51969" w:rsidP="00E51969">
            <w:pPr>
              <w:rPr>
                <w:rFonts w:asciiTheme="majorHAnsi" w:hAnsiTheme="majorHAnsi" w:cstheme="majorHAnsi"/>
              </w:rPr>
            </w:pPr>
            <w:r w:rsidRPr="00196D16">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E51969" w:rsidRPr="00196D16" w:rsidRDefault="00E51969" w:rsidP="00E51969">
            <w:pPr>
              <w:numPr>
                <w:ilvl w:val="0"/>
                <w:numId w:val="32"/>
              </w:numPr>
              <w:rPr>
                <w:rFonts w:asciiTheme="majorHAnsi" w:hAnsiTheme="majorHAnsi" w:cstheme="majorHAnsi"/>
              </w:rPr>
            </w:pPr>
            <w:r w:rsidRPr="00196D16">
              <w:rPr>
                <w:rFonts w:asciiTheme="majorHAnsi" w:hAnsiTheme="majorHAnsi" w:cstheme="majorHAnsi"/>
              </w:rPr>
              <w:t>Ability to collaborate with the chief information officers, under/assistant secretaries for administration/management, as well as other CFOs and OMB via the CFO Council</w:t>
            </w:r>
          </w:p>
          <w:p w:rsidR="00E51969" w:rsidRPr="00196D16" w:rsidRDefault="00E51969" w:rsidP="00E51969">
            <w:pPr>
              <w:numPr>
                <w:ilvl w:val="0"/>
                <w:numId w:val="32"/>
              </w:numPr>
              <w:rPr>
                <w:rFonts w:asciiTheme="majorHAnsi" w:hAnsiTheme="majorHAnsi" w:cstheme="majorHAnsi"/>
                <w:bCs/>
                <w:i/>
              </w:rPr>
            </w:pPr>
            <w:r w:rsidRPr="00196D16">
              <w:rPr>
                <w:rFonts w:asciiTheme="majorHAnsi" w:hAnsiTheme="majorHAnsi" w:cstheme="majorHAnsi"/>
              </w:rPr>
              <w:t>Knowledge of, and relationships with, Congress or ability to develop them</w:t>
            </w:r>
          </w:p>
        </w:tc>
      </w:tr>
      <w:tr w:rsidR="00661AE5" w:rsidRPr="00196D1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96D16" w:rsidRDefault="00661AE5" w:rsidP="00B64A22">
            <w:pPr>
              <w:jc w:val="center"/>
              <w:rPr>
                <w:rFonts w:asciiTheme="majorHAnsi" w:hAnsiTheme="majorHAnsi" w:cstheme="majorHAnsi"/>
                <w:b/>
              </w:rPr>
            </w:pPr>
            <w:r w:rsidRPr="00196D16">
              <w:rPr>
                <w:rFonts w:asciiTheme="majorHAnsi" w:hAnsiTheme="majorHAnsi" w:cstheme="majorHAnsi"/>
                <w:b/>
              </w:rPr>
              <w:t>PAST APPOINTEES</w:t>
            </w:r>
          </w:p>
        </w:tc>
      </w:tr>
      <w:tr w:rsidR="00E51969" w:rsidRPr="00196D16" w:rsidTr="00BE379B">
        <w:tc>
          <w:tcPr>
            <w:tcW w:w="9462" w:type="dxa"/>
            <w:gridSpan w:val="2"/>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rPr>
            </w:pPr>
            <w:r w:rsidRPr="00196D16">
              <w:rPr>
                <w:rFonts w:asciiTheme="majorHAnsi" w:hAnsiTheme="majorHAnsi" w:cstheme="majorHAnsi"/>
              </w:rPr>
              <w:t xml:space="preserve">The position is currently vacant. Brad Huther was appointed CFO in 2014, but passed away in 2015. He </w:t>
            </w:r>
            <w:r w:rsidRPr="00196D16">
              <w:rPr>
                <w:rFonts w:asciiTheme="majorHAnsi" w:hAnsiTheme="majorHAnsi" w:cstheme="majorHAnsi"/>
                <w:lang w:val="en"/>
              </w:rPr>
              <w:t>served as senior advisor in the Patent and Trademark Office; Senior Director at the Chamber of Commerce; president and CEO of the International Intellectual Property Institute; consultant and later a special attaché for the World Intellectual Property Organization; Deputy Director and Chief Operating Officer of the Census Bureau</w:t>
            </w:r>
          </w:p>
        </w:tc>
      </w:tr>
      <w:tr w:rsidR="00E51969" w:rsidRPr="00196D16" w:rsidTr="00BE379B">
        <w:tc>
          <w:tcPr>
            <w:tcW w:w="9462" w:type="dxa"/>
            <w:gridSpan w:val="2"/>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rPr>
            </w:pPr>
            <w:r w:rsidRPr="00196D16">
              <w:rPr>
                <w:rFonts w:asciiTheme="majorHAnsi" w:hAnsiTheme="majorHAnsi" w:cstheme="majorHAnsi"/>
              </w:rPr>
              <w:t xml:space="preserve">Douglas A. Criscitello (2010 to 2011) – </w:t>
            </w:r>
            <w:r w:rsidRPr="00196D16">
              <w:rPr>
                <w:rFonts w:asciiTheme="majorHAnsi" w:hAnsiTheme="majorHAnsi" w:cstheme="majorHAnsi"/>
                <w:lang w:val="en"/>
              </w:rPr>
              <w:t>Director at PricewaterhouseCoopers where he assisted in the establishment of a public sector financial services practice; Founding Director of New York City Independent Budget Office, where he coordinated analyses of wide range of government programs and activities;</w:t>
            </w:r>
            <w:r w:rsidRPr="00196D16">
              <w:rPr>
                <w:rFonts w:asciiTheme="majorHAnsi" w:eastAsia="Calibri" w:hAnsiTheme="majorHAnsi" w:cstheme="majorHAnsi"/>
                <w:lang w:val="en"/>
              </w:rPr>
              <w:t xml:space="preserve"> </w:t>
            </w:r>
            <w:r w:rsidRPr="00196D16">
              <w:rPr>
                <w:rFonts w:asciiTheme="majorHAnsi" w:hAnsiTheme="majorHAnsi" w:cstheme="majorHAnsi"/>
                <w:lang w:val="en"/>
              </w:rPr>
              <w:t>Executive Director at JPMorgan Securities, Inc. where he provided operational, investment banking, and financial advisory services to U.S. government agencies; worked extensively with U.S. credit agencies in roles at the Small Business Administration, Office of Management and Budget, and Congressional Budget Office</w:t>
            </w:r>
          </w:p>
        </w:tc>
      </w:tr>
      <w:tr w:rsidR="00E51969" w:rsidRPr="00196D16" w:rsidTr="00BE379B">
        <w:tc>
          <w:tcPr>
            <w:tcW w:w="9462" w:type="dxa"/>
            <w:gridSpan w:val="2"/>
            <w:tcBorders>
              <w:top w:val="single" w:sz="2" w:space="0" w:color="auto"/>
              <w:left w:val="single" w:sz="2" w:space="0" w:color="auto"/>
              <w:bottom w:val="single" w:sz="2" w:space="0" w:color="auto"/>
              <w:right w:val="single" w:sz="2" w:space="0" w:color="auto"/>
            </w:tcBorders>
          </w:tcPr>
          <w:p w:rsidR="00E51969" w:rsidRPr="00196D16" w:rsidRDefault="00E51969" w:rsidP="00E51969">
            <w:pPr>
              <w:rPr>
                <w:rFonts w:asciiTheme="majorHAnsi" w:hAnsiTheme="majorHAnsi" w:cstheme="majorHAnsi"/>
              </w:rPr>
            </w:pPr>
            <w:r w:rsidRPr="00196D16">
              <w:rPr>
                <w:rFonts w:asciiTheme="majorHAnsi" w:hAnsiTheme="majorHAnsi" w:cstheme="majorHAnsi"/>
              </w:rPr>
              <w:t>John W. Cox (2006 to 2009) –</w:t>
            </w:r>
            <w:r w:rsidRPr="00196D16">
              <w:rPr>
                <w:rFonts w:asciiTheme="majorHAnsi" w:hAnsiTheme="majorHAnsi" w:cstheme="majorHAnsi"/>
                <w:lang w:val="en"/>
              </w:rPr>
              <w:t xml:space="preserve"> CFO of BMC Software, Inc.; Chairman of the Audit Committee for Benchmark Electronics</w:t>
            </w:r>
          </w:p>
        </w:tc>
      </w:tr>
      <w:bookmarkEnd w:id="0"/>
    </w:tbl>
    <w:p w:rsidR="00514128" w:rsidRPr="00D56177" w:rsidRDefault="00514128">
      <w:pPr>
        <w:rPr>
          <w:rFonts w:asciiTheme="majorHAnsi" w:hAnsiTheme="majorHAnsi" w:cstheme="majorHAnsi"/>
        </w:rPr>
      </w:pPr>
    </w:p>
    <w:sectPr w:rsidR="00514128" w:rsidRPr="00D56177" w:rsidSect="00B645C4">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3F" w:rsidRDefault="0025763F" w:rsidP="001E22F1">
      <w:r>
        <w:separator/>
      </w:r>
    </w:p>
  </w:endnote>
  <w:endnote w:type="continuationSeparator" w:id="0">
    <w:p w:rsidR="0025763F" w:rsidRDefault="0025763F" w:rsidP="001E22F1">
      <w:r>
        <w:continuationSeparator/>
      </w:r>
    </w:p>
  </w:endnote>
  <w:endnote w:id="1">
    <w:p w:rsidR="00196D16" w:rsidRPr="00A911C8" w:rsidRDefault="00196D16" w:rsidP="00196D16">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196D16" w:rsidRDefault="00196D16">
      <w:pPr>
        <w:pStyle w:val="EndnoteText"/>
      </w:pPr>
      <w:r>
        <w:rPr>
          <w:rStyle w:val="EndnoteReference"/>
        </w:rPr>
        <w:endnoteRef/>
      </w:r>
      <w:r>
        <w:t xml:space="preserve"> </w:t>
      </w:r>
      <w:r w:rsidR="0016747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3F" w:rsidRDefault="0025763F" w:rsidP="001E22F1">
      <w:r>
        <w:separator/>
      </w:r>
    </w:p>
  </w:footnote>
  <w:footnote w:type="continuationSeparator" w:id="0">
    <w:p w:rsidR="0025763F" w:rsidRDefault="0025763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355"/>
    <w:multiLevelType w:val="hybridMultilevel"/>
    <w:tmpl w:val="729C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20F67"/>
    <w:multiLevelType w:val="hybridMultilevel"/>
    <w:tmpl w:val="3F5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2750"/>
    <w:multiLevelType w:val="hybridMultilevel"/>
    <w:tmpl w:val="D7F8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05F8A"/>
    <w:multiLevelType w:val="hybridMultilevel"/>
    <w:tmpl w:val="A314D0A8"/>
    <w:lvl w:ilvl="0" w:tplc="926E04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4673C"/>
    <w:multiLevelType w:val="hybridMultilevel"/>
    <w:tmpl w:val="5248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2545"/>
    <w:multiLevelType w:val="hybridMultilevel"/>
    <w:tmpl w:val="E8CA1D9E"/>
    <w:lvl w:ilvl="0" w:tplc="FE1E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EE237A"/>
    <w:multiLevelType w:val="hybridMultilevel"/>
    <w:tmpl w:val="840AEF76"/>
    <w:lvl w:ilvl="0" w:tplc="1B8AD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F37C7A"/>
    <w:multiLevelType w:val="hybridMultilevel"/>
    <w:tmpl w:val="310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3"/>
  </w:num>
  <w:num w:numId="4">
    <w:abstractNumId w:val="42"/>
  </w:num>
  <w:num w:numId="5">
    <w:abstractNumId w:val="6"/>
  </w:num>
  <w:num w:numId="6">
    <w:abstractNumId w:val="38"/>
  </w:num>
  <w:num w:numId="7">
    <w:abstractNumId w:val="5"/>
  </w:num>
  <w:num w:numId="8">
    <w:abstractNumId w:val="34"/>
  </w:num>
  <w:num w:numId="9">
    <w:abstractNumId w:val="18"/>
  </w:num>
  <w:num w:numId="10">
    <w:abstractNumId w:val="7"/>
  </w:num>
  <w:num w:numId="11">
    <w:abstractNumId w:val="17"/>
  </w:num>
  <w:num w:numId="12">
    <w:abstractNumId w:val="24"/>
  </w:num>
  <w:num w:numId="13">
    <w:abstractNumId w:val="23"/>
  </w:num>
  <w:num w:numId="14">
    <w:abstractNumId w:val="27"/>
  </w:num>
  <w:num w:numId="15">
    <w:abstractNumId w:val="29"/>
  </w:num>
  <w:num w:numId="16">
    <w:abstractNumId w:val="2"/>
  </w:num>
  <w:num w:numId="17">
    <w:abstractNumId w:val="20"/>
  </w:num>
  <w:num w:numId="18">
    <w:abstractNumId w:val="37"/>
  </w:num>
  <w:num w:numId="19">
    <w:abstractNumId w:val="9"/>
  </w:num>
  <w:num w:numId="20">
    <w:abstractNumId w:val="28"/>
  </w:num>
  <w:num w:numId="21">
    <w:abstractNumId w:val="35"/>
  </w:num>
  <w:num w:numId="22">
    <w:abstractNumId w:val="11"/>
  </w:num>
  <w:num w:numId="23">
    <w:abstractNumId w:val="8"/>
  </w:num>
  <w:num w:numId="24">
    <w:abstractNumId w:val="36"/>
  </w:num>
  <w:num w:numId="25">
    <w:abstractNumId w:val="15"/>
  </w:num>
  <w:num w:numId="26">
    <w:abstractNumId w:val="3"/>
  </w:num>
  <w:num w:numId="27">
    <w:abstractNumId w:val="21"/>
  </w:num>
  <w:num w:numId="28">
    <w:abstractNumId w:val="19"/>
  </w:num>
  <w:num w:numId="29">
    <w:abstractNumId w:val="22"/>
  </w:num>
  <w:num w:numId="30">
    <w:abstractNumId w:val="33"/>
  </w:num>
  <w:num w:numId="31">
    <w:abstractNumId w:val="40"/>
  </w:num>
  <w:num w:numId="32">
    <w:abstractNumId w:val="41"/>
  </w:num>
  <w:num w:numId="33">
    <w:abstractNumId w:val="10"/>
  </w:num>
  <w:num w:numId="34">
    <w:abstractNumId w:val="1"/>
  </w:num>
  <w:num w:numId="35">
    <w:abstractNumId w:val="31"/>
  </w:num>
  <w:num w:numId="36">
    <w:abstractNumId w:val="16"/>
  </w:num>
  <w:num w:numId="37">
    <w:abstractNumId w:val="26"/>
  </w:num>
  <w:num w:numId="38">
    <w:abstractNumId w:val="30"/>
  </w:num>
  <w:num w:numId="39">
    <w:abstractNumId w:val="32"/>
  </w:num>
  <w:num w:numId="40">
    <w:abstractNumId w:val="25"/>
  </w:num>
  <w:num w:numId="41">
    <w:abstractNumId w:val="12"/>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292C"/>
    <w:rsid w:val="0006648F"/>
    <w:rsid w:val="00073701"/>
    <w:rsid w:val="0007480D"/>
    <w:rsid w:val="00076645"/>
    <w:rsid w:val="00080E76"/>
    <w:rsid w:val="0008263D"/>
    <w:rsid w:val="000846D6"/>
    <w:rsid w:val="0008706F"/>
    <w:rsid w:val="00087A28"/>
    <w:rsid w:val="000A0629"/>
    <w:rsid w:val="000A0E94"/>
    <w:rsid w:val="000A35C6"/>
    <w:rsid w:val="000B0938"/>
    <w:rsid w:val="000B0F7D"/>
    <w:rsid w:val="000B1A94"/>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C96"/>
    <w:rsid w:val="00134D8D"/>
    <w:rsid w:val="00136A97"/>
    <w:rsid w:val="00137365"/>
    <w:rsid w:val="00150E02"/>
    <w:rsid w:val="00160969"/>
    <w:rsid w:val="00160F21"/>
    <w:rsid w:val="001658B6"/>
    <w:rsid w:val="00167470"/>
    <w:rsid w:val="00171A70"/>
    <w:rsid w:val="0017272D"/>
    <w:rsid w:val="00174883"/>
    <w:rsid w:val="00177151"/>
    <w:rsid w:val="00177526"/>
    <w:rsid w:val="0018425C"/>
    <w:rsid w:val="00187070"/>
    <w:rsid w:val="001956F0"/>
    <w:rsid w:val="00196D16"/>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7F1"/>
    <w:rsid w:val="00205DE4"/>
    <w:rsid w:val="00207063"/>
    <w:rsid w:val="00220C28"/>
    <w:rsid w:val="00220D75"/>
    <w:rsid w:val="0022173F"/>
    <w:rsid w:val="00221F98"/>
    <w:rsid w:val="00222732"/>
    <w:rsid w:val="00224E61"/>
    <w:rsid w:val="0023261D"/>
    <w:rsid w:val="002366A8"/>
    <w:rsid w:val="002375DE"/>
    <w:rsid w:val="00246779"/>
    <w:rsid w:val="0025763F"/>
    <w:rsid w:val="00262C31"/>
    <w:rsid w:val="002638DC"/>
    <w:rsid w:val="00263CE0"/>
    <w:rsid w:val="002678E9"/>
    <w:rsid w:val="00282909"/>
    <w:rsid w:val="00292D76"/>
    <w:rsid w:val="00297C2A"/>
    <w:rsid w:val="002A71CC"/>
    <w:rsid w:val="002B3AC4"/>
    <w:rsid w:val="002B44C0"/>
    <w:rsid w:val="002B59FC"/>
    <w:rsid w:val="002B6242"/>
    <w:rsid w:val="002C76AB"/>
    <w:rsid w:val="002C7A86"/>
    <w:rsid w:val="002D0033"/>
    <w:rsid w:val="002D28DF"/>
    <w:rsid w:val="002E0713"/>
    <w:rsid w:val="002E3137"/>
    <w:rsid w:val="002F204D"/>
    <w:rsid w:val="002F2F32"/>
    <w:rsid w:val="0030193E"/>
    <w:rsid w:val="00303227"/>
    <w:rsid w:val="00321F38"/>
    <w:rsid w:val="00330ACB"/>
    <w:rsid w:val="00331394"/>
    <w:rsid w:val="003317A8"/>
    <w:rsid w:val="003353C5"/>
    <w:rsid w:val="003454E5"/>
    <w:rsid w:val="00347F97"/>
    <w:rsid w:val="00354173"/>
    <w:rsid w:val="00354E26"/>
    <w:rsid w:val="003616AC"/>
    <w:rsid w:val="00366270"/>
    <w:rsid w:val="00370ED0"/>
    <w:rsid w:val="00375A18"/>
    <w:rsid w:val="00386024"/>
    <w:rsid w:val="003910F3"/>
    <w:rsid w:val="0039752D"/>
    <w:rsid w:val="003A0397"/>
    <w:rsid w:val="003A4DD4"/>
    <w:rsid w:val="003A6E33"/>
    <w:rsid w:val="003C35B5"/>
    <w:rsid w:val="003C3EF6"/>
    <w:rsid w:val="003C56E7"/>
    <w:rsid w:val="003D120B"/>
    <w:rsid w:val="003D4CCB"/>
    <w:rsid w:val="003D5759"/>
    <w:rsid w:val="003E45AC"/>
    <w:rsid w:val="00405D3E"/>
    <w:rsid w:val="00405E4F"/>
    <w:rsid w:val="00411497"/>
    <w:rsid w:val="00414F4B"/>
    <w:rsid w:val="004171B4"/>
    <w:rsid w:val="00422D9C"/>
    <w:rsid w:val="00424234"/>
    <w:rsid w:val="00435A07"/>
    <w:rsid w:val="00437A38"/>
    <w:rsid w:val="00441ACF"/>
    <w:rsid w:val="0045383F"/>
    <w:rsid w:val="004618AB"/>
    <w:rsid w:val="00463F52"/>
    <w:rsid w:val="00463F7A"/>
    <w:rsid w:val="00467E18"/>
    <w:rsid w:val="00472A3C"/>
    <w:rsid w:val="00473034"/>
    <w:rsid w:val="0047481D"/>
    <w:rsid w:val="00475D2E"/>
    <w:rsid w:val="00476188"/>
    <w:rsid w:val="00483140"/>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56FD"/>
    <w:rsid w:val="00521CF6"/>
    <w:rsid w:val="00526017"/>
    <w:rsid w:val="005303B7"/>
    <w:rsid w:val="0053247E"/>
    <w:rsid w:val="00532BE2"/>
    <w:rsid w:val="00534682"/>
    <w:rsid w:val="0055292D"/>
    <w:rsid w:val="0056253E"/>
    <w:rsid w:val="00562761"/>
    <w:rsid w:val="0056287D"/>
    <w:rsid w:val="00564475"/>
    <w:rsid w:val="005676B7"/>
    <w:rsid w:val="00572669"/>
    <w:rsid w:val="00574039"/>
    <w:rsid w:val="00577F0A"/>
    <w:rsid w:val="0058599E"/>
    <w:rsid w:val="005B0C70"/>
    <w:rsid w:val="005B44AE"/>
    <w:rsid w:val="005D4099"/>
    <w:rsid w:val="005D5806"/>
    <w:rsid w:val="005D63FF"/>
    <w:rsid w:val="005E6E2F"/>
    <w:rsid w:val="005F2771"/>
    <w:rsid w:val="005F77C9"/>
    <w:rsid w:val="006013AB"/>
    <w:rsid w:val="00602B9F"/>
    <w:rsid w:val="00603EFC"/>
    <w:rsid w:val="00612BDC"/>
    <w:rsid w:val="00622F39"/>
    <w:rsid w:val="00623BD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2A70"/>
    <w:rsid w:val="006E374B"/>
    <w:rsid w:val="006E50C0"/>
    <w:rsid w:val="007043CA"/>
    <w:rsid w:val="0072243C"/>
    <w:rsid w:val="007237FA"/>
    <w:rsid w:val="00732A91"/>
    <w:rsid w:val="00736EC8"/>
    <w:rsid w:val="00737980"/>
    <w:rsid w:val="00741D94"/>
    <w:rsid w:val="007467DF"/>
    <w:rsid w:val="00750157"/>
    <w:rsid w:val="00756A61"/>
    <w:rsid w:val="00762481"/>
    <w:rsid w:val="0076444F"/>
    <w:rsid w:val="007872BC"/>
    <w:rsid w:val="007A377A"/>
    <w:rsid w:val="007B1D32"/>
    <w:rsid w:val="007B6E3E"/>
    <w:rsid w:val="007D1AFF"/>
    <w:rsid w:val="007D609D"/>
    <w:rsid w:val="007D669F"/>
    <w:rsid w:val="007E1950"/>
    <w:rsid w:val="007E27B5"/>
    <w:rsid w:val="007F0E84"/>
    <w:rsid w:val="007F17B1"/>
    <w:rsid w:val="007F321F"/>
    <w:rsid w:val="007F338A"/>
    <w:rsid w:val="007F5A8E"/>
    <w:rsid w:val="007F6387"/>
    <w:rsid w:val="00806C5D"/>
    <w:rsid w:val="00820463"/>
    <w:rsid w:val="00821486"/>
    <w:rsid w:val="008271A8"/>
    <w:rsid w:val="00833527"/>
    <w:rsid w:val="00836810"/>
    <w:rsid w:val="00843FE7"/>
    <w:rsid w:val="00845B08"/>
    <w:rsid w:val="00845BCF"/>
    <w:rsid w:val="0085024B"/>
    <w:rsid w:val="0085653B"/>
    <w:rsid w:val="00860EC5"/>
    <w:rsid w:val="00867383"/>
    <w:rsid w:val="008744A6"/>
    <w:rsid w:val="0087689B"/>
    <w:rsid w:val="008807E6"/>
    <w:rsid w:val="00883BC8"/>
    <w:rsid w:val="008875E1"/>
    <w:rsid w:val="0089745E"/>
    <w:rsid w:val="00897ABC"/>
    <w:rsid w:val="008A05DD"/>
    <w:rsid w:val="008A32C9"/>
    <w:rsid w:val="008A7731"/>
    <w:rsid w:val="008B4CA7"/>
    <w:rsid w:val="008B7489"/>
    <w:rsid w:val="008C1B8C"/>
    <w:rsid w:val="008C1E77"/>
    <w:rsid w:val="008C5194"/>
    <w:rsid w:val="008D30E6"/>
    <w:rsid w:val="008D3564"/>
    <w:rsid w:val="008E547A"/>
    <w:rsid w:val="00901824"/>
    <w:rsid w:val="009069C2"/>
    <w:rsid w:val="009140FD"/>
    <w:rsid w:val="009241DC"/>
    <w:rsid w:val="00932702"/>
    <w:rsid w:val="0094517E"/>
    <w:rsid w:val="00962B37"/>
    <w:rsid w:val="009630CC"/>
    <w:rsid w:val="0096330D"/>
    <w:rsid w:val="009703F5"/>
    <w:rsid w:val="00970EB1"/>
    <w:rsid w:val="00971A5E"/>
    <w:rsid w:val="009754EA"/>
    <w:rsid w:val="00977755"/>
    <w:rsid w:val="00977835"/>
    <w:rsid w:val="00981574"/>
    <w:rsid w:val="00981585"/>
    <w:rsid w:val="009A0E47"/>
    <w:rsid w:val="009A7E33"/>
    <w:rsid w:val="009B458C"/>
    <w:rsid w:val="009B5C03"/>
    <w:rsid w:val="009C2FED"/>
    <w:rsid w:val="009D264E"/>
    <w:rsid w:val="009D3593"/>
    <w:rsid w:val="009E46C4"/>
    <w:rsid w:val="009E586C"/>
    <w:rsid w:val="009F59E4"/>
    <w:rsid w:val="00A07E43"/>
    <w:rsid w:val="00A11046"/>
    <w:rsid w:val="00A113B9"/>
    <w:rsid w:val="00A15619"/>
    <w:rsid w:val="00A16DAE"/>
    <w:rsid w:val="00A20D92"/>
    <w:rsid w:val="00A21FED"/>
    <w:rsid w:val="00A33BE1"/>
    <w:rsid w:val="00A37BD6"/>
    <w:rsid w:val="00A46A0C"/>
    <w:rsid w:val="00A54EF3"/>
    <w:rsid w:val="00A653B2"/>
    <w:rsid w:val="00A8031D"/>
    <w:rsid w:val="00A869D4"/>
    <w:rsid w:val="00A92C24"/>
    <w:rsid w:val="00A9589A"/>
    <w:rsid w:val="00AA2E6E"/>
    <w:rsid w:val="00AA39E1"/>
    <w:rsid w:val="00AB37A6"/>
    <w:rsid w:val="00AC4349"/>
    <w:rsid w:val="00AC65D8"/>
    <w:rsid w:val="00AD2B8A"/>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47264"/>
    <w:rsid w:val="00B55C24"/>
    <w:rsid w:val="00B609BD"/>
    <w:rsid w:val="00B645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5F56"/>
    <w:rsid w:val="00C30408"/>
    <w:rsid w:val="00C335FE"/>
    <w:rsid w:val="00C3365A"/>
    <w:rsid w:val="00C36CC2"/>
    <w:rsid w:val="00C42FC1"/>
    <w:rsid w:val="00C44A8F"/>
    <w:rsid w:val="00C46EEC"/>
    <w:rsid w:val="00C5538B"/>
    <w:rsid w:val="00C71212"/>
    <w:rsid w:val="00C82C06"/>
    <w:rsid w:val="00C866F7"/>
    <w:rsid w:val="00C87AFC"/>
    <w:rsid w:val="00C90AD7"/>
    <w:rsid w:val="00C94E0B"/>
    <w:rsid w:val="00C978C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2079"/>
    <w:rsid w:val="00D744FA"/>
    <w:rsid w:val="00D8185C"/>
    <w:rsid w:val="00D8492B"/>
    <w:rsid w:val="00D8605F"/>
    <w:rsid w:val="00D8690A"/>
    <w:rsid w:val="00D96149"/>
    <w:rsid w:val="00DA36B9"/>
    <w:rsid w:val="00DA387D"/>
    <w:rsid w:val="00DA6014"/>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589"/>
    <w:rsid w:val="00E2022A"/>
    <w:rsid w:val="00E21E3C"/>
    <w:rsid w:val="00E271FD"/>
    <w:rsid w:val="00E32003"/>
    <w:rsid w:val="00E40457"/>
    <w:rsid w:val="00E47F45"/>
    <w:rsid w:val="00E51969"/>
    <w:rsid w:val="00E549CF"/>
    <w:rsid w:val="00E562D0"/>
    <w:rsid w:val="00E60CC0"/>
    <w:rsid w:val="00E62766"/>
    <w:rsid w:val="00E70863"/>
    <w:rsid w:val="00E71C0D"/>
    <w:rsid w:val="00E725B6"/>
    <w:rsid w:val="00E7353D"/>
    <w:rsid w:val="00E766C6"/>
    <w:rsid w:val="00E80B5C"/>
    <w:rsid w:val="00E828F9"/>
    <w:rsid w:val="00E90C00"/>
    <w:rsid w:val="00EB20A7"/>
    <w:rsid w:val="00EB2281"/>
    <w:rsid w:val="00EC2402"/>
    <w:rsid w:val="00EC429B"/>
    <w:rsid w:val="00EC4FDB"/>
    <w:rsid w:val="00EC6EB1"/>
    <w:rsid w:val="00ED52F5"/>
    <w:rsid w:val="00ED5B9E"/>
    <w:rsid w:val="00EE0E6A"/>
    <w:rsid w:val="00EF11FF"/>
    <w:rsid w:val="00EF6FAB"/>
    <w:rsid w:val="00F1221F"/>
    <w:rsid w:val="00F24186"/>
    <w:rsid w:val="00F24A4E"/>
    <w:rsid w:val="00F25BCA"/>
    <w:rsid w:val="00F25F5F"/>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7918E2F-37FF-4660-9194-F0FD269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paragraph" w:styleId="Revision">
    <w:name w:val="Revision"/>
    <w:hidden/>
    <w:semiHidden/>
    <w:rsid w:val="00530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60290379-EE9F-4101-8B5B-303D48A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Federal Trade Commission</Company>
  <LinksUpToDate>false</LinksUpToDate>
  <CharactersWithSpaces>5352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5</cp:revision>
  <cp:lastPrinted>2016-07-12T18:00:00Z</cp:lastPrinted>
  <dcterms:created xsi:type="dcterms:W3CDTF">2017-02-17T16:45:00Z</dcterms:created>
  <dcterms:modified xsi:type="dcterms:W3CDTF">2017-08-23T20:14:00Z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